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F8E" w:rsidRPr="00EF4F8E" w:rsidRDefault="00EF4F8E" w:rsidP="00EF4F8E">
      <w:pPr>
        <w:shd w:val="clear" w:color="auto" w:fill="FFFFFF"/>
        <w:spacing w:after="270" w:line="264" w:lineRule="atLeast"/>
        <w:textAlignment w:val="baseline"/>
        <w:outlineLvl w:val="0"/>
        <w:rPr>
          <w:rFonts w:ascii="Arial" w:eastAsia="Times New Roman" w:hAnsi="Arial" w:cs="Arial"/>
          <w:color w:val="00609D"/>
          <w:kern w:val="36"/>
          <w:sz w:val="35"/>
          <w:szCs w:val="35"/>
          <w:lang w:eastAsia="ru-RU"/>
        </w:rPr>
      </w:pPr>
      <w:r w:rsidRPr="00EF4F8E">
        <w:rPr>
          <w:rFonts w:ascii="Arial" w:eastAsia="Times New Roman" w:hAnsi="Arial" w:cs="Arial"/>
          <w:color w:val="00609D"/>
          <w:kern w:val="36"/>
          <w:sz w:val="35"/>
          <w:szCs w:val="35"/>
          <w:lang w:eastAsia="ru-RU"/>
        </w:rPr>
        <w:t>ПЕРЕЧЕНЬ ДОКУМЕНТОВ ПО ОХРАНЕ ТРУДА В ОРГАНИЗАЦИИ</w:t>
      </w:r>
    </w:p>
    <w:p w:rsidR="00EF4F8E" w:rsidRPr="00EF4F8E" w:rsidRDefault="00EF4F8E" w:rsidP="00EF4F8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ПЕРЕЧЕНЬ ДОКУМЕНТОВ ПО ОХРАНЕ ТРУДА В ОРГАНИЗАЦИИ </w:t>
      </w:r>
    </w:p>
    <w:p w:rsidR="00EF4F8E" w:rsidRPr="00EF4F8E" w:rsidRDefault="00EF4F8E" w:rsidP="00EF4F8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F8E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Документация по охране труда, которая должна быть в организации (учреждении, на предприятии)</w:t>
      </w:r>
    </w:p>
    <w:p w:rsidR="00EF4F8E" w:rsidRPr="00EF4F8E" w:rsidRDefault="00EF4F8E" w:rsidP="00EF4F8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F8E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 у предпринимателей (частично):</w:t>
      </w:r>
    </w:p>
    <w:p w:rsidR="00EF4F8E" w:rsidRPr="00EF4F8E" w:rsidRDefault="00EF4F8E" w:rsidP="00EF4F8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1. Положение (стандарт) организации по управл</w:t>
      </w:r>
      <w:bookmarkStart w:id="0" w:name="_GoBack"/>
      <w:bookmarkEnd w:id="0"/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ению охраной труда (с распределением обязанностей и ответственности по охране труда);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2. Приказ о назначении ответственного лица по охране труда или договор о привлечении специалиста, оказывающего услуги в области охраны труда;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3. Должностные обязанности инженера по охране труда, обязанности лица, ответственного по охране труда;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4. Программа вводного инструктажа;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5. Журнал регистрации вводного инструктажа;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6. Перечень профессий и должностей работников, освобожденных от инструктажа на рабочем месте;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7. Программы первичных инструктажей на все рабочие места (по профессиям, должностям);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8. Журнал регистрации инструктажа на рабочем месте;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9. Приказ работодателя о разработке инструкций по охране труда и назначении лиц, ответственных за разработку;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10. Перечень действующих инструкций по охране труда (по профессиям и видам работ);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11. Инструкции по охране труда;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12. Журнал учета инструкций по охране труда;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13. Журнал учета выдачи инструкций по охране труда;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14. Приказ руководителя об утверждении инструкций по охране труда;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15. Приказ о продлении срока действия инструкций или пересмотре инструкций по охране труда;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16. Перечень рабочих мест в организации с вредными и (или) опасными условиями труда;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17. Поименный список лиц, подлежащих периодическому медицинскому осмотру;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18. График проведения периодических медицинских осмотров;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19. Заключительный акт по итогам медицинских осмотров;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20.Документация по аттестации рабочих мест по условиям труда;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21. Программа улучшения условий и охраны труда (по результатам аттестации рабочих мест по условиям труда);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22. Перечень профессий и должностей работников организации, которым полагается бесплатная специальная одежда, обувь и другие средства индивидуальной защиты (с указанием вида средств, нормы их выдачи, сроков носки);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23. Личные карточки учета выдачи спецодежды, </w:t>
      </w:r>
      <w:proofErr w:type="spellStart"/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спецобуви</w:t>
      </w:r>
      <w:proofErr w:type="spellEnd"/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 других средств индивидуальной защиты;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24. Перечень профессий и должностей работников организации, которым полагается бесплатная выдача смывающих (обезвреживающих) средств;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25. Личные карточки учета выдачи смывающих (обезвреживающих) средств;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26. Копии протоколов и удостоверений об обучении по охране труда, пройденном руководителями и специалистами данной организации в аккредитованной обучающей организации;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27. Приказы по созданию комиссий по проверке знаний требований охраны труда и 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безопасных методов труда. (Комиссии двух уровней - руководители (специалисты), работники);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28. Программы обучения по охране труда, проводимого в организации (для руководителей/специалистов и работников);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29. График проведения проверки знаний по результатам обучения по охране труда в организации;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30. Контрольные вопросы для проверки знаний требований охраны труда по результатам обучения в организации;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31. Протоколы заседания комиссий по проверке знаний требований охраны труда и безопасных методов труда по результатам обучения по охране труда;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32. Приказ руководителя организации о создании комитета (комиссии) по охране труда;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33. Положение о комитете (комиссии) по охране труда;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34. План работы комитета (комиссии) по охране труда;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35. Протокол собрания профсоюзной организации (трудового коллектива) организации об избрании уполномоченных лиц по охране труда;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36. Положение об уполномоченном лице по охране труда в организации;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37. Планы работы уполномоченных лиц по охране труда;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38. Перечень работ с повышенной опасностью в организации;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39. Приказы о назначении ответственных лиц за производство работ с повышенной опасностью;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40. Журнал регистрации нарядов-допусков на работы с повышенной опасностью;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41. Журнал регистрации несчастных случаев на производстве;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42. Акты о расследовании несчастных случаев и профессиональных заболеваний, материалы расследований;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43. Приказ о назначении лица, ответственного за электрохозяйство организации;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44. Перечень должностей электротехнического и </w:t>
      </w:r>
      <w:proofErr w:type="spellStart"/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электротехнологического</w:t>
      </w:r>
      <w:proofErr w:type="spellEnd"/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персонала организации, которым необходимо иметь квалификационную группу по электробезопасности;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45. Удостоверения о присвоении групп по электробезопасности работникам вышеуказанных должностей;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46. Перечень профессий работников организации из числа </w:t>
      </w:r>
      <w:proofErr w:type="spellStart"/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неэлектротехнического</w:t>
      </w:r>
      <w:proofErr w:type="spellEnd"/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персонала, которым необходимо присвоение 1 группы по электробезопасности;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47. Программа обучения по электробезопасности для присвоения 1 группы;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48. Журнал учета присвоения 1 группы по электробезопасности </w:t>
      </w:r>
      <w:proofErr w:type="spellStart"/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неэлектротехническому</w:t>
      </w:r>
      <w:proofErr w:type="spellEnd"/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персоналу организации;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49. Приказ о назначении лиц, ответственных за техническую эксплуатацию зданий и сооружений;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50. Приказ о назначении лица, ответственного за газовое хозяйство организации;</w:t>
      </w:r>
      <w:r w:rsidRPr="00EF4F8E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51. График проведения контроля по безопасности труда</w:t>
      </w:r>
    </w:p>
    <w:p w:rsidR="00357DD7" w:rsidRDefault="00357DD7"/>
    <w:p w:rsidR="00EF4F8E" w:rsidRDefault="00EF4F8E"/>
    <w:sectPr w:rsidR="00EF4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8E"/>
    <w:rsid w:val="00357DD7"/>
    <w:rsid w:val="00DA5B8E"/>
    <w:rsid w:val="00E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F6D0"/>
  <w15:chartTrackingRefBased/>
  <w15:docId w15:val="{DC4DC912-0057-44A3-93A3-CD6EAD64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2019-08-27T13:14:00Z</cp:lastPrinted>
  <dcterms:created xsi:type="dcterms:W3CDTF">2019-08-27T13:13:00Z</dcterms:created>
  <dcterms:modified xsi:type="dcterms:W3CDTF">2019-08-27T14:15:00Z</dcterms:modified>
</cp:coreProperties>
</file>